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F2" w:rsidRDefault="009473F2" w:rsidP="009473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Pr="009473F2" w:rsidRDefault="009473F2" w:rsidP="009473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F22F7">
        <w:rPr>
          <w:rFonts w:ascii="Times New Roman" w:hAnsi="Times New Roman"/>
          <w:b/>
          <w:bCs/>
          <w:sz w:val="24"/>
          <w:szCs w:val="24"/>
        </w:rPr>
        <w:t>Ciclo b</w:t>
      </w:r>
      <w:r>
        <w:rPr>
          <w:rFonts w:ascii="Times New Roman" w:hAnsi="Times New Roman"/>
          <w:b/>
          <w:bCs/>
          <w:sz w:val="24"/>
          <w:szCs w:val="24"/>
        </w:rPr>
        <w:t xml:space="preserve">iológico </w:t>
      </w:r>
      <w:r w:rsidRPr="009473F2">
        <w:rPr>
          <w:rFonts w:ascii="Times New Roman" w:hAnsi="Times New Roman"/>
          <w:b/>
          <w:sz w:val="24"/>
          <w:szCs w:val="24"/>
        </w:rPr>
        <w:t xml:space="preserve">do </w:t>
      </w:r>
      <w:proofErr w:type="spellStart"/>
      <w:r w:rsidRPr="009473F2">
        <w:rPr>
          <w:rFonts w:ascii="Times New Roman" w:hAnsi="Times New Roman"/>
          <w:b/>
          <w:i/>
          <w:sz w:val="24"/>
          <w:szCs w:val="24"/>
        </w:rPr>
        <w:t>Ae</w:t>
      </w:r>
      <w:proofErr w:type="spellEnd"/>
      <w:r w:rsidRPr="009473F2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Pr="009473F2">
        <w:rPr>
          <w:rFonts w:ascii="Times New Roman" w:hAnsi="Times New Roman"/>
          <w:b/>
          <w:i/>
          <w:sz w:val="24"/>
          <w:szCs w:val="24"/>
        </w:rPr>
        <w:t>aegypti</w:t>
      </w:r>
      <w:proofErr w:type="gramEnd"/>
    </w:p>
    <w:p w:rsidR="009473F2" w:rsidRP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ciclo de vida do </w:t>
      </w:r>
      <w:proofErr w:type="spellStart"/>
      <w:r w:rsidRPr="003F0C3E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3F0C3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F0C3E">
        <w:rPr>
          <w:rFonts w:ascii="Times New Roman" w:hAnsi="Times New Roman"/>
          <w:i/>
          <w:sz w:val="24"/>
          <w:szCs w:val="24"/>
        </w:rPr>
        <w:t>aegypti</w:t>
      </w:r>
      <w:proofErr w:type="gramEnd"/>
      <w:r>
        <w:rPr>
          <w:rFonts w:ascii="Times New Roman" w:hAnsi="Times New Roman"/>
          <w:sz w:val="24"/>
          <w:szCs w:val="24"/>
        </w:rPr>
        <w:t xml:space="preserve">, tem duas fases distintas, na primeira trata-se da fase na água, com três formas diferentes de estágios: ovo, larva e pupa; na segunda tem-se a fase de ar ou adulto. A fase aquática dura, em média, sete dias, dependendo da temperatura, disponibilidade de alimento e densidade das larvas no criadouro (ALVA, 2007). Elas são compostas por cabeça, tórax e </w:t>
      </w:r>
      <w:proofErr w:type="spellStart"/>
      <w:r>
        <w:rPr>
          <w:rFonts w:ascii="Times New Roman" w:hAnsi="Times New Roman"/>
          <w:sz w:val="24"/>
          <w:szCs w:val="24"/>
        </w:rPr>
        <w:t>abdômem</w:t>
      </w:r>
      <w:proofErr w:type="spellEnd"/>
      <w:r>
        <w:rPr>
          <w:rFonts w:ascii="Times New Roman" w:hAnsi="Times New Roman"/>
          <w:sz w:val="24"/>
          <w:szCs w:val="24"/>
        </w:rPr>
        <w:t xml:space="preserve">. São sensíveis a movimentos bruscos na água e </w:t>
      </w:r>
      <w:proofErr w:type="gramStart"/>
      <w:r>
        <w:rPr>
          <w:rFonts w:ascii="Times New Roman" w:hAnsi="Times New Roman"/>
          <w:sz w:val="24"/>
          <w:szCs w:val="24"/>
        </w:rPr>
        <w:t>sob feixe</w:t>
      </w:r>
      <w:proofErr w:type="gramEnd"/>
      <w:r>
        <w:rPr>
          <w:rFonts w:ascii="Times New Roman" w:hAnsi="Times New Roman"/>
          <w:sz w:val="24"/>
          <w:szCs w:val="24"/>
        </w:rPr>
        <w:t xml:space="preserve"> de luz deslocam-se com rapidez buscando refúgio no fundo do recipiente (fotofobia). Para respirar as larvas vêm à superfície onde permanecem em posição vertical (BRASIL, 2001).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fase de pupa é a última etapa de maturação da fase na da água, depois disso corresponde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eclosão, que dá origem ao mosquito e à fase no ar. Ele tem sua primeira alimentação entre 20 a 72 horas. Como as fêmeas são hematófagas, quando estão infectadas transmitem o vírus da doença no instante em que sugam o sangue, pela da saliva do vetor (ALVA, 2007).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224790</wp:posOffset>
            </wp:positionV>
            <wp:extent cx="5391150" cy="3438525"/>
            <wp:effectExtent l="0" t="0" r="0" b="9525"/>
            <wp:wrapNone/>
            <wp:docPr id="1" name="Imagem 1" descr="ciclo Aedes aegyp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iclo Aedes aegyp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b/>
          <w:sz w:val="24"/>
          <w:szCs w:val="24"/>
        </w:rPr>
        <w:t>F</w:t>
      </w:r>
      <w:r w:rsidRPr="00716D55">
        <w:rPr>
          <w:rFonts w:ascii="Times New Roman" w:hAnsi="Times New Roman"/>
          <w:b/>
          <w:sz w:val="24"/>
          <w:szCs w:val="24"/>
        </w:rPr>
        <w:t>igura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traz a representação esquemática</w:t>
      </w:r>
      <w:r w:rsidRPr="00716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ciclo biológico do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aegypti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Pr="001E61CE" w:rsidRDefault="009473F2" w:rsidP="009473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iCs/>
          <w:sz w:val="20"/>
          <w:szCs w:val="20"/>
        </w:rPr>
      </w:pPr>
      <w:r w:rsidRPr="001E61CE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1E61CE">
        <w:rPr>
          <w:rFonts w:ascii="Times New Roman" w:hAnsi="Times New Roman"/>
          <w:b/>
          <w:bCs/>
          <w:sz w:val="20"/>
          <w:szCs w:val="20"/>
        </w:rPr>
        <w:t xml:space="preserve">FIGURA 2 - </w:t>
      </w:r>
      <w:r w:rsidRPr="001E61CE">
        <w:rPr>
          <w:rFonts w:ascii="Times New Roman" w:hAnsi="Times New Roman"/>
          <w:sz w:val="20"/>
          <w:szCs w:val="20"/>
        </w:rPr>
        <w:t xml:space="preserve">Representação esquemática do ciclo biológico do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Ae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gramStart"/>
      <w:r w:rsidRPr="001E61CE">
        <w:rPr>
          <w:rFonts w:ascii="Times New Roman" w:hAnsi="Times New Roman"/>
          <w:i/>
          <w:iCs/>
          <w:sz w:val="20"/>
          <w:szCs w:val="20"/>
        </w:rPr>
        <w:t>aegypti</w:t>
      </w:r>
      <w:proofErr w:type="gramEnd"/>
    </w:p>
    <w:p w:rsidR="009473F2" w:rsidRPr="001E61CE" w:rsidRDefault="009473F2" w:rsidP="009473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</w:t>
      </w:r>
      <w:r w:rsidRPr="001E61CE">
        <w:rPr>
          <w:rFonts w:ascii="Times New Roman" w:hAnsi="Times New Roman"/>
          <w:b/>
          <w:bCs/>
          <w:sz w:val="20"/>
          <w:szCs w:val="20"/>
        </w:rPr>
        <w:t>FONTE:</w:t>
      </w:r>
      <w:r w:rsidRPr="001E61CE">
        <w:rPr>
          <w:rFonts w:ascii="Times New Roman" w:hAnsi="Times New Roman"/>
          <w:sz w:val="20"/>
          <w:szCs w:val="20"/>
        </w:rPr>
        <w:t xml:space="preserve"> www.ddd.It/pub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Logo após a picada do mosquito infectado, o vírus se multiplica em órgãos-alvo, infectando as células brancas do sangue (mononucleares) e também os tecidos linfáticos, de onde acaba por ser liberado para a corrente circulatória. (TIMERMAN </w:t>
      </w:r>
      <w:proofErr w:type="gramStart"/>
      <w:r w:rsidRPr="00D432EF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432EF">
        <w:rPr>
          <w:rFonts w:ascii="Times New Roman" w:hAnsi="Times New Roman"/>
          <w:iCs/>
          <w:sz w:val="24"/>
          <w:szCs w:val="24"/>
        </w:rPr>
        <w:t xml:space="preserve"> al</w:t>
      </w:r>
      <w:r w:rsidRPr="00D432EF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2009).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Outro mosquito, após picar um indivíduo que apresente o vírus na corrente sanguínea, ingere o sangue com o vírus, que se multiplica no intestino médio e outros órgãos, infectando assim as glândulas salivares, onde o vírus também se replica (GUBLER </w:t>
      </w:r>
      <w:proofErr w:type="gramStart"/>
      <w:r w:rsidRPr="00072F20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072F20">
        <w:rPr>
          <w:rFonts w:ascii="Times New Roman" w:hAnsi="Times New Roman"/>
          <w:iCs/>
          <w:sz w:val="24"/>
          <w:szCs w:val="24"/>
        </w:rPr>
        <w:t xml:space="preserve"> al</w:t>
      </w:r>
      <w:r w:rsidRPr="00072F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. 1981). A contaminação pelo vírus no mosquito também pode se dar através da transmissão </w:t>
      </w:r>
      <w:proofErr w:type="spellStart"/>
      <w:r>
        <w:rPr>
          <w:rFonts w:ascii="Times New Roman" w:hAnsi="Times New Roman"/>
          <w:sz w:val="24"/>
          <w:szCs w:val="24"/>
        </w:rPr>
        <w:t>transovariana</w:t>
      </w:r>
      <w:proofErr w:type="spellEnd"/>
      <w:r>
        <w:rPr>
          <w:rFonts w:ascii="Times New Roman" w:hAnsi="Times New Roman"/>
          <w:sz w:val="24"/>
          <w:szCs w:val="24"/>
        </w:rPr>
        <w:t xml:space="preserve"> (via ovos), portanto, nesse caso as fêmeas já infectam desde a sua primeira alimentação. (WHO,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1997).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 Características virais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vírus da dengue pertence à família </w:t>
      </w:r>
      <w:proofErr w:type="spellStart"/>
      <w:r>
        <w:rPr>
          <w:rFonts w:ascii="Times New Roman" w:hAnsi="Times New Roman"/>
          <w:sz w:val="24"/>
          <w:szCs w:val="24"/>
        </w:rPr>
        <w:t>Flaviviridae</w:t>
      </w:r>
      <w:proofErr w:type="spellEnd"/>
      <w:r>
        <w:rPr>
          <w:rFonts w:ascii="Times New Roman" w:hAnsi="Times New Roman"/>
          <w:sz w:val="24"/>
          <w:szCs w:val="24"/>
        </w:rPr>
        <w:t xml:space="preserve"> e ao gênero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Flavivirus</w:t>
      </w:r>
      <w:proofErr w:type="spellEnd"/>
      <w:r>
        <w:rPr>
          <w:rFonts w:ascii="Times New Roman" w:hAnsi="Times New Roman"/>
          <w:sz w:val="24"/>
          <w:szCs w:val="24"/>
        </w:rPr>
        <w:t xml:space="preserve">. Ele possui quatro sorotipos distintos, DEN-1, DEN-2, DEN-3 e DEN-4 (GUBLER,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1981), tais sorotipos possuem manifestações clínicas semelhantes, porém a infecção por um não resulta em proteção contra outros sorotipos em </w:t>
      </w:r>
      <w:r>
        <w:rPr>
          <w:rFonts w:ascii="Times New Roman" w:hAnsi="Times New Roman"/>
          <w:sz w:val="24"/>
          <w:szCs w:val="24"/>
        </w:rPr>
        <w:t>subsequentes</w:t>
      </w:r>
      <w:r>
        <w:rPr>
          <w:rFonts w:ascii="Times New Roman" w:hAnsi="Times New Roman"/>
          <w:sz w:val="24"/>
          <w:szCs w:val="24"/>
        </w:rPr>
        <w:t xml:space="preserve"> infecções (PESARO </w:t>
      </w:r>
      <w:r w:rsidRPr="00072F20">
        <w:rPr>
          <w:rFonts w:ascii="Times New Roman" w:hAnsi="Times New Roman"/>
          <w:iCs/>
          <w:sz w:val="24"/>
          <w:szCs w:val="24"/>
        </w:rPr>
        <w:t>et al</w:t>
      </w:r>
      <w:r w:rsidRPr="00072F2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2007).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vírus tem formato </w:t>
      </w:r>
      <w:proofErr w:type="spellStart"/>
      <w:r>
        <w:rPr>
          <w:rFonts w:ascii="Times New Roman" w:hAnsi="Times New Roman"/>
          <w:sz w:val="24"/>
          <w:szCs w:val="24"/>
        </w:rPr>
        <w:t>icosaédrico</w:t>
      </w:r>
      <w:proofErr w:type="spellEnd"/>
      <w:r>
        <w:rPr>
          <w:rFonts w:ascii="Times New Roman" w:hAnsi="Times New Roman"/>
          <w:sz w:val="24"/>
          <w:szCs w:val="24"/>
        </w:rPr>
        <w:t xml:space="preserve">, possui um genoma com cadeia única de RNA, com três proteínas estruturais: a proteína C, localizada no </w:t>
      </w:r>
      <w:proofErr w:type="spellStart"/>
      <w:r>
        <w:rPr>
          <w:rFonts w:ascii="Times New Roman" w:hAnsi="Times New Roman"/>
          <w:sz w:val="24"/>
          <w:szCs w:val="24"/>
        </w:rPr>
        <w:t>nucleocapsídeo</w:t>
      </w:r>
      <w:proofErr w:type="spellEnd"/>
      <w:r>
        <w:rPr>
          <w:rFonts w:ascii="Times New Roman" w:hAnsi="Times New Roman"/>
          <w:sz w:val="24"/>
          <w:szCs w:val="24"/>
        </w:rPr>
        <w:t xml:space="preserve">; proteína M, que está associada com a membrana e a proteína E do envelope que é a principal proteína e está relacionada com a imunidade e provável virulência da amostra. O vírus dengue possui sete outras proteínas não estruturais que são relacionadas com a infecção viral (DEUBEL, </w:t>
      </w:r>
      <w:proofErr w:type="gramStart"/>
      <w:r w:rsidRPr="00C742F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42F5">
        <w:rPr>
          <w:rFonts w:ascii="Times New Roman" w:hAnsi="Times New Roman"/>
          <w:iCs/>
          <w:sz w:val="24"/>
          <w:szCs w:val="24"/>
        </w:rPr>
        <w:t xml:space="preserve"> al</w:t>
      </w:r>
      <w:r w:rsidRPr="00C742F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1993). 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quatro sorotipos do vírus dengue são </w:t>
      </w:r>
      <w:proofErr w:type="spellStart"/>
      <w:r>
        <w:rPr>
          <w:rFonts w:ascii="Times New Roman" w:hAnsi="Times New Roman"/>
          <w:sz w:val="24"/>
          <w:szCs w:val="24"/>
        </w:rPr>
        <w:t>antigenicamente</w:t>
      </w:r>
      <w:proofErr w:type="spellEnd"/>
      <w:r>
        <w:rPr>
          <w:rFonts w:ascii="Times New Roman" w:hAnsi="Times New Roman"/>
          <w:sz w:val="24"/>
          <w:szCs w:val="24"/>
        </w:rPr>
        <w:t xml:space="preserve"> diferentes, porém existem evidências de que pode existir </w:t>
      </w:r>
      <w:proofErr w:type="spellStart"/>
      <w:r>
        <w:rPr>
          <w:rFonts w:ascii="Times New Roman" w:hAnsi="Times New Roman"/>
          <w:sz w:val="24"/>
          <w:szCs w:val="24"/>
        </w:rPr>
        <w:t>subcomplexos</w:t>
      </w:r>
      <w:proofErr w:type="spellEnd"/>
      <w:r>
        <w:rPr>
          <w:rFonts w:ascii="Times New Roman" w:hAnsi="Times New Roman"/>
          <w:sz w:val="24"/>
          <w:szCs w:val="24"/>
        </w:rPr>
        <w:t xml:space="preserve"> sorológicos em cada grupo. Estes vírus têm sido analisados por estudos moleculares, através de </w:t>
      </w:r>
      <w:r>
        <w:rPr>
          <w:rFonts w:ascii="Times New Roman" w:hAnsi="Times New Roman"/>
          <w:sz w:val="24"/>
          <w:szCs w:val="24"/>
        </w:rPr>
        <w:t>sequenciamento</w:t>
      </w:r>
      <w:r>
        <w:rPr>
          <w:rFonts w:ascii="Times New Roman" w:hAnsi="Times New Roman"/>
          <w:sz w:val="24"/>
          <w:szCs w:val="24"/>
        </w:rPr>
        <w:t xml:space="preserve"> do vírus o que permitiu uma visualização maior das relações genéticas, podendo assim ter sido reunidos em subgrupos (</w:t>
      </w:r>
      <w:proofErr w:type="gramStart"/>
      <w:r>
        <w:rPr>
          <w:rFonts w:ascii="Times New Roman" w:hAnsi="Times New Roman"/>
          <w:sz w:val="24"/>
          <w:szCs w:val="24"/>
        </w:rPr>
        <w:t>CASTRO,</w:t>
      </w:r>
      <w:proofErr w:type="gramEnd"/>
      <w:r>
        <w:rPr>
          <w:rFonts w:ascii="Times New Roman" w:hAnsi="Times New Roman"/>
          <w:sz w:val="24"/>
          <w:szCs w:val="24"/>
        </w:rPr>
        <w:t>2004).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2.5. Distribuição Sazonal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Os modelos preditivos para a transmissão de dengue têm dado relevância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temperatura, precipitação e umidade relativa do ar sobre a distribuição do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aegypti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lastRenderedPageBreak/>
        <w:t xml:space="preserve">(KOOPMAN </w:t>
      </w:r>
      <w:r w:rsidRPr="00C742F5">
        <w:rPr>
          <w:rFonts w:ascii="Times New Roman" w:hAnsi="Times New Roman"/>
          <w:iCs/>
          <w:sz w:val="24"/>
          <w:szCs w:val="24"/>
        </w:rPr>
        <w:t>et al</w:t>
      </w:r>
      <w:r w:rsidRPr="00C742F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1991) e na ocorrência de surtos de dengue a precipitação é o fator climático mais importante para esses modelos (HOOP e FOLEY, 2001).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temperatura mais elevada geralmente está associada ao aumento da incidência da dengue devido à abundância do mosquito transmissor (GOMES, 2002). As chuvas sempre favoreceram o desenvolvimento dos mosquitos, pois ocorre a diminuição da atividade da forma alada do vetor que se deve pelo frio e diminuição da reprodução por falta de chuvas, havendo, portanto, elevação do número de coleções líquidas, tornando-se seus criadouros (CASTRO 2004).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2.6 Manifestações Clínicas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quadro clínico da dengue é amplo, pode apresentar desde uma síndrome febril inespecífica até quadros graves como hemorragia, choque e às vezes óbito. (BRASIL, 2010e).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Uma complexa rede de interações entre fatores do vírus e do hospedeiro provocam as duas principais apresentações clínicas da doença, que são a FD e a FHD (CLYDE </w:t>
      </w:r>
      <w:proofErr w:type="gramStart"/>
      <w:r w:rsidRPr="00C742F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42F5">
        <w:rPr>
          <w:rFonts w:ascii="Times New Roman" w:hAnsi="Times New Roman"/>
          <w:iCs/>
          <w:sz w:val="24"/>
          <w:szCs w:val="24"/>
        </w:rPr>
        <w:t xml:space="preserve"> al</w:t>
      </w:r>
      <w:r w:rsidRPr="00C742F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2006).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FD, a febre pode surgir de forma súbita ou após alguns sintomas característicos do período </w:t>
      </w:r>
      <w:proofErr w:type="spellStart"/>
      <w:r>
        <w:rPr>
          <w:rFonts w:ascii="Times New Roman" w:hAnsi="Times New Roman"/>
          <w:sz w:val="24"/>
          <w:szCs w:val="24"/>
        </w:rPr>
        <w:t>prodrômico</w:t>
      </w:r>
      <w:proofErr w:type="spellEnd"/>
      <w:r>
        <w:rPr>
          <w:rFonts w:ascii="Times New Roman" w:hAnsi="Times New Roman"/>
          <w:sz w:val="24"/>
          <w:szCs w:val="24"/>
        </w:rPr>
        <w:t xml:space="preserve">, como mal-estar, calafrios e dor de cabeça (TRABULSI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2005). A febre é geralmente alta (39 a 40C, com duração máxima de sete dias) (TOLEDO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2006), associada à </w:t>
      </w:r>
      <w:r>
        <w:rPr>
          <w:rFonts w:ascii="Times New Roman" w:hAnsi="Times New Roman"/>
          <w:sz w:val="24"/>
          <w:szCs w:val="24"/>
        </w:rPr>
        <w:t>cefaleia</w:t>
      </w:r>
      <w:r>
        <w:rPr>
          <w:rFonts w:ascii="Times New Roman" w:hAnsi="Times New Roman"/>
          <w:sz w:val="24"/>
          <w:szCs w:val="24"/>
        </w:rPr>
        <w:t xml:space="preserve">, prostração, mialgia, </w:t>
      </w:r>
      <w:proofErr w:type="spellStart"/>
      <w:r>
        <w:rPr>
          <w:rFonts w:ascii="Times New Roman" w:hAnsi="Times New Roman"/>
          <w:sz w:val="24"/>
          <w:szCs w:val="24"/>
        </w:rPr>
        <w:t>artralgia</w:t>
      </w:r>
      <w:proofErr w:type="spellEnd"/>
      <w:r>
        <w:rPr>
          <w:rFonts w:ascii="Times New Roman" w:hAnsi="Times New Roman"/>
          <w:sz w:val="24"/>
          <w:szCs w:val="24"/>
        </w:rPr>
        <w:t xml:space="preserve">, dor </w:t>
      </w:r>
      <w:r>
        <w:rPr>
          <w:rFonts w:ascii="Times New Roman" w:hAnsi="Times New Roman"/>
          <w:sz w:val="24"/>
          <w:szCs w:val="24"/>
        </w:rPr>
        <w:t>retro orbitária</w:t>
      </w:r>
      <w:r>
        <w:rPr>
          <w:rFonts w:ascii="Times New Roman" w:hAnsi="Times New Roman"/>
          <w:sz w:val="24"/>
          <w:szCs w:val="24"/>
        </w:rPr>
        <w:t xml:space="preserve"> e exantema seguido evolutivamente por pruridos e outras alterações (TIMERMAN, </w:t>
      </w:r>
      <w:r w:rsidRPr="00C742F5">
        <w:rPr>
          <w:rFonts w:ascii="Times New Roman" w:hAnsi="Times New Roman"/>
          <w:iCs/>
          <w:sz w:val="24"/>
          <w:szCs w:val="24"/>
        </w:rPr>
        <w:t>et al</w:t>
      </w:r>
      <w:r w:rsidRPr="00C742F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2009). Sintomas respiratórios como tosse, rinite e garganta inflamada, não são incomuns, especialmente em crianças. Pode ainda apresentar linfonodos aumentados e outros sintomas, como anorexia, náuseas, vômitos e </w:t>
      </w:r>
      <w:r>
        <w:rPr>
          <w:rFonts w:ascii="Times New Roman" w:hAnsi="Times New Roman"/>
          <w:sz w:val="24"/>
          <w:szCs w:val="24"/>
        </w:rPr>
        <w:t>diarreia</w:t>
      </w:r>
      <w:r>
        <w:rPr>
          <w:rFonts w:ascii="Times New Roman" w:hAnsi="Times New Roman"/>
          <w:sz w:val="24"/>
          <w:szCs w:val="24"/>
        </w:rPr>
        <w:t xml:space="preserve"> (TRABULSI </w:t>
      </w:r>
      <w:proofErr w:type="gramStart"/>
      <w:r w:rsidRPr="00C742F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42F5">
        <w:rPr>
          <w:rFonts w:ascii="Times New Roman" w:hAnsi="Times New Roman"/>
          <w:iCs/>
          <w:sz w:val="24"/>
          <w:szCs w:val="24"/>
        </w:rPr>
        <w:t xml:space="preserve"> al</w:t>
      </w:r>
      <w:r w:rsidRPr="00C742F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2005). Em alguns casos pode ocorrer sangramento, mais comum nas gengivas, porém também podem ocorrer fenômenos hemorrágicos tão intensos a ponto de levar ao choque hipovolêmico (WHO, 1997).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FHD o quadro inicia-se de forma semelhante ao dengue clássico, com febre (ocasionalmente 40 a </w:t>
      </w:r>
      <w:proofErr w:type="gramStart"/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), mantendo-se elevada por período de 2 a 7 dias, quando então apresenta queda súbita. Os fenômenos hemorrágicos iniciam-se em até 24 horas (prova do torniquete positiva, presença de </w:t>
      </w:r>
      <w:proofErr w:type="spellStart"/>
      <w:r>
        <w:rPr>
          <w:rFonts w:ascii="Times New Roman" w:hAnsi="Times New Roman"/>
          <w:sz w:val="24"/>
          <w:szCs w:val="24"/>
        </w:rPr>
        <w:t>petéquias</w:t>
      </w:r>
      <w:proofErr w:type="spellEnd"/>
      <w:r>
        <w:rPr>
          <w:rFonts w:ascii="Times New Roman" w:hAnsi="Times New Roman"/>
          <w:sz w:val="24"/>
          <w:szCs w:val="24"/>
        </w:rPr>
        <w:t xml:space="preserve">, equimoses, </w:t>
      </w:r>
      <w:proofErr w:type="spellStart"/>
      <w:r>
        <w:rPr>
          <w:rFonts w:ascii="Times New Roman" w:hAnsi="Times New Roman"/>
          <w:sz w:val="24"/>
          <w:szCs w:val="24"/>
        </w:rPr>
        <w:t>epistaxe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gengivorragia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metrorragia</w:t>
      </w:r>
      <w:proofErr w:type="spellEnd"/>
      <w:r>
        <w:rPr>
          <w:rFonts w:ascii="Times New Roman" w:hAnsi="Times New Roman"/>
          <w:sz w:val="24"/>
          <w:szCs w:val="24"/>
        </w:rPr>
        <w:t>, hemorragia digestiva alta) (</w:t>
      </w:r>
      <w:r w:rsidRPr="00C742F5">
        <w:rPr>
          <w:rFonts w:ascii="Times New Roman" w:hAnsi="Times New Roman"/>
          <w:sz w:val="24"/>
          <w:szCs w:val="24"/>
        </w:rPr>
        <w:t xml:space="preserve">SERUFO </w:t>
      </w:r>
      <w:proofErr w:type="gramStart"/>
      <w:r w:rsidRPr="00C742F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C742F5">
        <w:rPr>
          <w:rFonts w:ascii="Times New Roman" w:hAnsi="Times New Roman"/>
          <w:iCs/>
          <w:sz w:val="24"/>
          <w:szCs w:val="24"/>
        </w:rPr>
        <w:t xml:space="preserve"> al</w:t>
      </w:r>
      <w:r>
        <w:rPr>
          <w:rFonts w:ascii="Times New Roman" w:hAnsi="Times New Roman"/>
          <w:sz w:val="24"/>
          <w:szCs w:val="24"/>
        </w:rPr>
        <w:t xml:space="preserve">., 2000). 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 também o surgimento de derrames intracavitários e </w:t>
      </w:r>
      <w:r>
        <w:rPr>
          <w:rFonts w:ascii="Times New Roman" w:hAnsi="Times New Roman"/>
          <w:sz w:val="24"/>
          <w:szCs w:val="24"/>
        </w:rPr>
        <w:t>micro hemorragias</w:t>
      </w:r>
      <w:r>
        <w:rPr>
          <w:rFonts w:ascii="Times New Roman" w:hAnsi="Times New Roman"/>
          <w:sz w:val="24"/>
          <w:szCs w:val="24"/>
        </w:rPr>
        <w:t xml:space="preserve"> em órgãos internos, como miocárdio, sistema nervoso central, fígado, baço, etc.(MARTINEZ, 1995). Em </w:t>
      </w:r>
      <w:r>
        <w:rPr>
          <w:rFonts w:ascii="Times New Roman" w:hAnsi="Times New Roman"/>
          <w:sz w:val="24"/>
          <w:szCs w:val="24"/>
        </w:rPr>
        <w:lastRenderedPageBreak/>
        <w:t xml:space="preserve">crianças com menos de 10 anos, chama a atenção </w:t>
      </w:r>
      <w:proofErr w:type="spellStart"/>
      <w:r>
        <w:rPr>
          <w:rFonts w:ascii="Times New Roman" w:hAnsi="Times New Roman"/>
          <w:sz w:val="24"/>
          <w:szCs w:val="24"/>
        </w:rPr>
        <w:t>linfadenomegalia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hepatomegalia</w:t>
      </w:r>
      <w:proofErr w:type="spellEnd"/>
      <w:r>
        <w:rPr>
          <w:rFonts w:ascii="Times New Roman" w:hAnsi="Times New Roman"/>
          <w:sz w:val="24"/>
          <w:szCs w:val="24"/>
        </w:rPr>
        <w:t xml:space="preserve"> e esplenomegalia; em recém-nascidos e crianças mais novas destacam-se irritabilidade, febre persistente e exantemas (</w:t>
      </w:r>
      <w:r w:rsidRPr="00DF73B5">
        <w:rPr>
          <w:rFonts w:ascii="Times New Roman" w:hAnsi="Times New Roman"/>
          <w:sz w:val="24"/>
          <w:szCs w:val="24"/>
        </w:rPr>
        <w:t xml:space="preserve">TIMERMAN </w:t>
      </w:r>
      <w:proofErr w:type="gramStart"/>
      <w:r w:rsidRPr="00DF73B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F73B5">
        <w:rPr>
          <w:rFonts w:ascii="Times New Roman" w:hAnsi="Times New Roman"/>
          <w:iCs/>
          <w:sz w:val="24"/>
          <w:szCs w:val="24"/>
        </w:rPr>
        <w:t xml:space="preserve"> al</w:t>
      </w:r>
      <w:r>
        <w:rPr>
          <w:rFonts w:ascii="Times New Roman" w:hAnsi="Times New Roman"/>
          <w:sz w:val="24"/>
          <w:szCs w:val="24"/>
        </w:rPr>
        <w:t>.,2009).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hepatomegalia</w:t>
      </w:r>
      <w:proofErr w:type="spellEnd"/>
      <w:r>
        <w:rPr>
          <w:rFonts w:ascii="Times New Roman" w:hAnsi="Times New Roman"/>
          <w:sz w:val="24"/>
          <w:szCs w:val="24"/>
        </w:rPr>
        <w:t xml:space="preserve"> aparece no início do quadro febril, enquanto a esplenomegalia raramente ocorre, sendo mais comum nos lactentes. A trombocitopenia (&lt; 100.000/mm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ocorre em 70 a 80% dos casos. Deve-se ressaltar que um período febril maior que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dias praticamente descarta o diagnóstico de dengue (</w:t>
      </w:r>
      <w:r w:rsidRPr="00DF73B5">
        <w:rPr>
          <w:rFonts w:ascii="Times New Roman" w:hAnsi="Times New Roman"/>
          <w:sz w:val="24"/>
          <w:szCs w:val="24"/>
        </w:rPr>
        <w:t xml:space="preserve">SERUFO </w:t>
      </w:r>
      <w:r w:rsidRPr="00DF73B5">
        <w:rPr>
          <w:rFonts w:ascii="Times New Roman" w:hAnsi="Times New Roman"/>
          <w:iCs/>
          <w:sz w:val="24"/>
          <w:szCs w:val="24"/>
        </w:rPr>
        <w:t>et al</w:t>
      </w:r>
      <w:r w:rsidRPr="00DF73B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2000).</w:t>
      </w:r>
    </w:p>
    <w:p w:rsidR="009473F2" w:rsidRPr="00DF73B5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evolução grave desses casos é para Síndrome do Choque da Dengue, no qual o paciente necessita ser atendido exemplarmente, </w:t>
      </w:r>
      <w:proofErr w:type="gramStart"/>
      <w:r>
        <w:rPr>
          <w:rFonts w:ascii="Times New Roman" w:hAnsi="Times New Roman"/>
          <w:sz w:val="24"/>
          <w:szCs w:val="24"/>
        </w:rPr>
        <w:t>sob risco</w:t>
      </w:r>
      <w:proofErr w:type="gramEnd"/>
      <w:r>
        <w:rPr>
          <w:rFonts w:ascii="Times New Roman" w:hAnsi="Times New Roman"/>
          <w:sz w:val="24"/>
          <w:szCs w:val="24"/>
        </w:rPr>
        <w:t xml:space="preserve"> de ir a óbito. (TIMERMAN</w:t>
      </w:r>
      <w:r w:rsidRPr="00DF73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73B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F73B5">
        <w:rPr>
          <w:rFonts w:ascii="Times New Roman" w:hAnsi="Times New Roman"/>
          <w:iCs/>
          <w:sz w:val="24"/>
          <w:szCs w:val="24"/>
        </w:rPr>
        <w:t xml:space="preserve"> al</w:t>
      </w:r>
      <w:r w:rsidRPr="00DF73B5">
        <w:rPr>
          <w:rFonts w:ascii="Times New Roman" w:hAnsi="Times New Roman"/>
          <w:sz w:val="24"/>
          <w:szCs w:val="24"/>
        </w:rPr>
        <w:t>.,2009).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motivos da ocorrência de formas graves da dengue ainda não foram completamente </w:t>
      </w:r>
      <w:r>
        <w:rPr>
          <w:rFonts w:ascii="Times New Roman" w:hAnsi="Times New Roman"/>
          <w:sz w:val="24"/>
          <w:szCs w:val="24"/>
        </w:rPr>
        <w:t>estabelecidos</w:t>
      </w:r>
      <w:r>
        <w:rPr>
          <w:rFonts w:ascii="Times New Roman" w:hAnsi="Times New Roman"/>
          <w:sz w:val="24"/>
          <w:szCs w:val="24"/>
        </w:rPr>
        <w:t xml:space="preserve">, havendo algumas teorias explicativas como a maior virulência da cepa do vírus infectante, à </w:t>
      </w:r>
      <w:r>
        <w:rPr>
          <w:rFonts w:ascii="Times New Roman" w:hAnsi="Times New Roman"/>
          <w:sz w:val="24"/>
          <w:szCs w:val="24"/>
        </w:rPr>
        <w:t>sequência</w:t>
      </w:r>
      <w:r>
        <w:rPr>
          <w:rFonts w:ascii="Times New Roman" w:hAnsi="Times New Roman"/>
          <w:sz w:val="24"/>
          <w:szCs w:val="24"/>
        </w:rPr>
        <w:t xml:space="preserve"> de infecções pela variabilidade de sorotipos do agente etiológico, a fatores individuais do hospedeiro (agentes genéticos), estado nutricional e a uma possível combinação desses fatores. (BARRETO e TEIXEIRA, 2008; </w:t>
      </w:r>
      <w:r w:rsidRPr="00DF73B5">
        <w:rPr>
          <w:rFonts w:ascii="Times New Roman" w:hAnsi="Times New Roman"/>
          <w:sz w:val="24"/>
          <w:szCs w:val="24"/>
        </w:rPr>
        <w:t xml:space="preserve">BRITO </w:t>
      </w:r>
      <w:proofErr w:type="gramStart"/>
      <w:r w:rsidRPr="00DF73B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F73B5">
        <w:rPr>
          <w:rFonts w:ascii="Times New Roman" w:hAnsi="Times New Roman"/>
          <w:iCs/>
          <w:sz w:val="24"/>
          <w:szCs w:val="24"/>
        </w:rPr>
        <w:t xml:space="preserve"> al</w:t>
      </w:r>
      <w:r w:rsidRPr="00DF73B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2007).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2.7 Formas de Diagnóstico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diagnóstico da dengue é feito com base na história clínica do doente, exame de sangue (hemograma), exames específicos para isolamento do vírus em culturas ou anticorpos específicos, como exemplo deste, temos a sorologia, que comprova a infecção pelo vírus da dengue devido à presença de anticorpos contra o mesmo. (BRASIL, 2010e).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Inicialmente, é feito um diagnóstico clínico considerando suspeito todo paciente que apresentar quadro febril agudo, com duração máxima de sete dias e, pelo menos, dois dos seguintes sintomas: </w:t>
      </w:r>
      <w:r>
        <w:rPr>
          <w:rFonts w:ascii="Times New Roman" w:hAnsi="Times New Roman"/>
          <w:sz w:val="24"/>
          <w:szCs w:val="24"/>
        </w:rPr>
        <w:t>cefaleia</w:t>
      </w:r>
      <w:r>
        <w:rPr>
          <w:rFonts w:ascii="Times New Roman" w:hAnsi="Times New Roman"/>
          <w:sz w:val="24"/>
          <w:szCs w:val="24"/>
        </w:rPr>
        <w:t xml:space="preserve">, dor </w:t>
      </w:r>
      <w:r>
        <w:rPr>
          <w:rFonts w:ascii="Times New Roman" w:hAnsi="Times New Roman"/>
          <w:sz w:val="24"/>
          <w:szCs w:val="24"/>
        </w:rPr>
        <w:t>retro orbitária</w:t>
      </w:r>
      <w:r>
        <w:rPr>
          <w:rFonts w:ascii="Times New Roman" w:hAnsi="Times New Roman"/>
          <w:sz w:val="24"/>
          <w:szCs w:val="24"/>
        </w:rPr>
        <w:t xml:space="preserve">, mialgia, </w:t>
      </w:r>
      <w:proofErr w:type="spellStart"/>
      <w:r>
        <w:rPr>
          <w:rFonts w:ascii="Times New Roman" w:hAnsi="Times New Roman"/>
          <w:sz w:val="24"/>
          <w:szCs w:val="24"/>
        </w:rPr>
        <w:t>artralgia</w:t>
      </w:r>
      <w:proofErr w:type="spellEnd"/>
      <w:r>
        <w:rPr>
          <w:rFonts w:ascii="Times New Roman" w:hAnsi="Times New Roman"/>
          <w:sz w:val="24"/>
          <w:szCs w:val="24"/>
        </w:rPr>
        <w:t xml:space="preserve">, prostração e exantema para descartar outras doenças. Os métodos laboratoriais existentes para diagnóstico de dengue são o MAC-ELISA, </w:t>
      </w:r>
      <w:proofErr w:type="gramStart"/>
      <w:r>
        <w:rPr>
          <w:rFonts w:ascii="Times New Roman" w:hAnsi="Times New Roman"/>
          <w:sz w:val="24"/>
          <w:szCs w:val="24"/>
        </w:rPr>
        <w:t>o ELISA</w:t>
      </w:r>
      <w:proofErr w:type="gramEnd"/>
      <w:r>
        <w:rPr>
          <w:rFonts w:ascii="Times New Roman" w:hAnsi="Times New Roman"/>
          <w:sz w:val="24"/>
          <w:szCs w:val="24"/>
        </w:rPr>
        <w:t xml:space="preserve"> de inibição, a inibição da </w:t>
      </w:r>
      <w:proofErr w:type="spellStart"/>
      <w:r>
        <w:rPr>
          <w:rFonts w:ascii="Times New Roman" w:hAnsi="Times New Roman"/>
          <w:sz w:val="24"/>
          <w:szCs w:val="24"/>
        </w:rPr>
        <w:t>hemaglutinação</w:t>
      </w:r>
      <w:proofErr w:type="spellEnd"/>
      <w:r>
        <w:rPr>
          <w:rFonts w:ascii="Times New Roman" w:hAnsi="Times New Roman"/>
          <w:sz w:val="24"/>
          <w:szCs w:val="24"/>
        </w:rPr>
        <w:t xml:space="preserve"> e o isolamento viral em culturas celulares (MOURÃO </w:t>
      </w:r>
      <w:r w:rsidRPr="00DF73B5">
        <w:rPr>
          <w:rFonts w:ascii="Times New Roman" w:hAnsi="Times New Roman"/>
          <w:iCs/>
          <w:sz w:val="24"/>
          <w:szCs w:val="24"/>
        </w:rPr>
        <w:t>et al</w:t>
      </w:r>
      <w:r w:rsidRPr="00DF73B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2010. O diagnóstico laboratorial é de suma importância para a confirmação da dengue, principalmente nas crianças, onde o quadro clínico se confunde com diversas patologias virais. (</w:t>
      </w:r>
      <w:r w:rsidRPr="00DF73B5">
        <w:rPr>
          <w:rFonts w:ascii="Times New Roman" w:hAnsi="Times New Roman"/>
          <w:sz w:val="24"/>
          <w:szCs w:val="24"/>
        </w:rPr>
        <w:t xml:space="preserve">RODRIGUES </w:t>
      </w:r>
      <w:r w:rsidRPr="00DF73B5">
        <w:rPr>
          <w:rFonts w:ascii="Times New Roman" w:hAnsi="Times New Roman"/>
          <w:iCs/>
          <w:sz w:val="24"/>
          <w:szCs w:val="24"/>
        </w:rPr>
        <w:t>et al</w:t>
      </w:r>
      <w:r w:rsidRPr="00DF73B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2005).</w:t>
      </w:r>
    </w:p>
    <w:p w:rsidR="009473F2" w:rsidRDefault="009473F2" w:rsidP="009473F2">
      <w:pPr>
        <w:keepLines/>
        <w:widowControl w:val="0"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identificação da FHD, podem ser utilizadas, a prova do laço, a contagem das plaquetas e a contagem dos glóbulos vermelhos. O diagnóstico deve ser feito rapidamente, pois a FDH pode levar à morte. (BRASIL 2010e).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2.8 Tratamento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tratamento visa apenas atenuar os sintomas, e deve incluir repouso, antipiréticos e analgésicos, é importante a hidratação, por via oral ou por via intravenosa nos casos mais graves. Não devem ser utilizados derivados do ácido acetilsalicílico, que podem aumentar a possibilidade de ocorrerem hemorragias. Não existem drogas antivirais para utilização no tratamento das infecções pelos vírus da dengue (</w:t>
      </w:r>
      <w:r w:rsidRPr="00DF73B5">
        <w:rPr>
          <w:rFonts w:ascii="Times New Roman" w:hAnsi="Times New Roman"/>
          <w:sz w:val="24"/>
          <w:szCs w:val="24"/>
        </w:rPr>
        <w:t xml:space="preserve">TRABULSI </w:t>
      </w:r>
      <w:proofErr w:type="gramStart"/>
      <w:r w:rsidRPr="00DF73B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F73B5">
        <w:rPr>
          <w:rFonts w:ascii="Times New Roman" w:hAnsi="Times New Roman"/>
          <w:iCs/>
          <w:sz w:val="24"/>
          <w:szCs w:val="24"/>
        </w:rPr>
        <w:t xml:space="preserve"> al</w:t>
      </w:r>
      <w:r w:rsidRPr="00DF73B5">
        <w:rPr>
          <w:rFonts w:ascii="Times New Roman" w:hAnsi="Times New Roman"/>
          <w:sz w:val="24"/>
          <w:szCs w:val="24"/>
        </w:rPr>
        <w:t>., 2005).</w:t>
      </w:r>
    </w:p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febre e </w:t>
      </w:r>
      <w:proofErr w:type="spellStart"/>
      <w:r>
        <w:rPr>
          <w:rFonts w:ascii="Times New Roman" w:hAnsi="Times New Roman"/>
          <w:sz w:val="24"/>
          <w:szCs w:val="24"/>
        </w:rPr>
        <w:t>artralgia</w:t>
      </w:r>
      <w:proofErr w:type="spellEnd"/>
      <w:r>
        <w:rPr>
          <w:rFonts w:ascii="Times New Roman" w:hAnsi="Times New Roman"/>
          <w:sz w:val="24"/>
          <w:szCs w:val="24"/>
        </w:rPr>
        <w:t xml:space="preserve"> devem ser tratadas com paracetamol ou a associação de paracetamol e codeína, em doses usuais, além de dipirona sódica, sendo esta última, o analgésico mais indicado, devido à conhecida toxicidade hepática causada pelo paracetamol (DENIS </w:t>
      </w:r>
      <w:proofErr w:type="gramStart"/>
      <w:r w:rsidRPr="00DF73B5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DF73B5">
        <w:rPr>
          <w:rFonts w:ascii="Times New Roman" w:hAnsi="Times New Roman"/>
          <w:iCs/>
          <w:sz w:val="24"/>
          <w:szCs w:val="24"/>
        </w:rPr>
        <w:t xml:space="preserve"> al</w:t>
      </w:r>
      <w:r w:rsidRPr="00DF73B5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2002)</w:t>
      </w:r>
    </w:p>
    <w:bookmarkEnd w:id="0"/>
    <w:p w:rsidR="009473F2" w:rsidRDefault="009473F2" w:rsidP="009473F2">
      <w:pPr>
        <w:widowControl w:val="0"/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  <w:sectPr w:rsidR="009473F2" w:rsidSect="00B46491">
          <w:headerReference w:type="default" r:id="rId8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253FA0" w:rsidRDefault="00253FA0" w:rsidP="009473F2"/>
    <w:sectPr w:rsidR="0025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E9" w:rsidRDefault="000400E9" w:rsidP="009473F2">
      <w:pPr>
        <w:spacing w:after="0" w:line="240" w:lineRule="auto"/>
      </w:pPr>
      <w:r>
        <w:separator/>
      </w:r>
    </w:p>
  </w:endnote>
  <w:endnote w:type="continuationSeparator" w:id="0">
    <w:p w:rsidR="000400E9" w:rsidRDefault="000400E9" w:rsidP="0094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E9" w:rsidRDefault="000400E9" w:rsidP="009473F2">
      <w:pPr>
        <w:spacing w:after="0" w:line="240" w:lineRule="auto"/>
      </w:pPr>
      <w:r>
        <w:separator/>
      </w:r>
    </w:p>
  </w:footnote>
  <w:footnote w:type="continuationSeparator" w:id="0">
    <w:p w:rsidR="000400E9" w:rsidRDefault="000400E9" w:rsidP="0094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40" w:rsidRDefault="000400E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3F2">
      <w:rPr>
        <w:noProof/>
      </w:rPr>
      <w:t>5</w:t>
    </w:r>
    <w:r>
      <w:fldChar w:fldCharType="end"/>
    </w:r>
  </w:p>
  <w:p w:rsidR="00E62040" w:rsidRDefault="00040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F2"/>
    <w:rsid w:val="000400E9"/>
    <w:rsid w:val="00253FA0"/>
    <w:rsid w:val="009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F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3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3F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3F2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F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3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3F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3F2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1389</Words>
  <Characters>7502</Characters>
  <Application>Microsoft Office Word</Application>
  <DocSecurity>0</DocSecurity>
  <Lines>62</Lines>
  <Paragraphs>17</Paragraphs>
  <ScaleCrop>false</ScaleCrop>
  <Company>Home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2012-11-26T23:51:00Z</dcterms:created>
  <dcterms:modified xsi:type="dcterms:W3CDTF">2012-11-26T23:56:00Z</dcterms:modified>
</cp:coreProperties>
</file>